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6123" w14:textId="77777777" w:rsidR="00212182" w:rsidRPr="0003759D" w:rsidRDefault="00212182" w:rsidP="0003759D">
      <w:pPr>
        <w:jc w:val="center"/>
        <w:rPr>
          <w:b/>
          <w:w w:val="120"/>
        </w:rPr>
      </w:pPr>
      <w:r w:rsidRPr="0003759D">
        <w:rPr>
          <w:b/>
          <w:w w:val="120"/>
        </w:rPr>
        <w:t>Les innovateurs silencieux.</w:t>
      </w:r>
      <w:r w:rsidRPr="0003759D">
        <w:rPr>
          <w:b/>
          <w:w w:val="120"/>
        </w:rPr>
        <w:t xml:space="preserve"> </w:t>
      </w:r>
      <w:r w:rsidRPr="0003759D">
        <w:rPr>
          <w:b/>
          <w:w w:val="120"/>
        </w:rPr>
        <w:t>Histoire des pratiques d’enseignement à l’université des années 1950 à 2010</w:t>
      </w:r>
    </w:p>
    <w:p w14:paraId="2EE56D4F" w14:textId="77777777" w:rsidR="00212182" w:rsidRDefault="00212182" w:rsidP="0003759D">
      <w:pPr>
        <w:jc w:val="center"/>
        <w:rPr>
          <w:iCs/>
        </w:rPr>
      </w:pPr>
      <w:r w:rsidRPr="00212182">
        <w:rPr>
          <w:iCs/>
        </w:rPr>
        <w:t>Marie-Laure Viaud</w:t>
      </w:r>
    </w:p>
    <w:p w14:paraId="329F3143" w14:textId="77777777" w:rsidR="0003759D" w:rsidRDefault="0003759D" w:rsidP="0003759D">
      <w:pPr>
        <w:jc w:val="center"/>
        <w:rPr>
          <w:iCs/>
        </w:rPr>
      </w:pPr>
      <w:r>
        <w:rPr>
          <w:iCs/>
        </w:rPr>
        <w:t>Presses Universitaires de Grenoble, 2015.</w:t>
      </w:r>
    </w:p>
    <w:p w14:paraId="2031AEB5" w14:textId="77777777" w:rsidR="0003759D" w:rsidRDefault="0003759D" w:rsidP="00212182">
      <w:pPr>
        <w:rPr>
          <w:iCs/>
        </w:rPr>
      </w:pPr>
    </w:p>
    <w:p w14:paraId="2D0827A7" w14:textId="77777777" w:rsidR="0003759D" w:rsidRPr="0003759D" w:rsidRDefault="0003759D" w:rsidP="0003759D">
      <w:pPr>
        <w:jc w:val="center"/>
        <w:rPr>
          <w:i/>
          <w:iCs/>
        </w:rPr>
      </w:pPr>
      <w:r w:rsidRPr="0003759D">
        <w:rPr>
          <w:i/>
          <w:iCs/>
        </w:rPr>
        <w:t>Plan de l’ouvrage</w:t>
      </w:r>
    </w:p>
    <w:p w14:paraId="2CE5F99A" w14:textId="77777777" w:rsidR="0003759D" w:rsidRDefault="0003759D" w:rsidP="0003759D">
      <w:pPr>
        <w:pStyle w:val="TM2"/>
      </w:pPr>
    </w:p>
    <w:p w14:paraId="0DA54AD0" w14:textId="77777777" w:rsidR="0003759D" w:rsidRDefault="0003759D" w:rsidP="0003759D">
      <w:pPr>
        <w:pStyle w:val="TM2"/>
      </w:pPr>
    </w:p>
    <w:p w14:paraId="1933B414" w14:textId="77777777" w:rsidR="0003759D" w:rsidRDefault="0003759D" w:rsidP="0003759D">
      <w:pPr>
        <w:pStyle w:val="TM2"/>
      </w:pPr>
    </w:p>
    <w:p w14:paraId="6F9024AD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Introduction</w:t>
      </w:r>
    </w:p>
    <w:p w14:paraId="07DBF0A5" w14:textId="77777777" w:rsidR="0003759D" w:rsidRDefault="0003759D" w:rsidP="0003759D">
      <w:pPr>
        <w:pStyle w:val="TM1"/>
        <w:rPr>
          <w:rFonts w:eastAsiaTheme="minorEastAsia" w:cstheme="minorBidi"/>
          <w:b w:val="0"/>
          <w:lang w:val="en-GB" w:eastAsia="ja-JP"/>
        </w:rPr>
      </w:pPr>
      <w:r w:rsidRPr="000164A9">
        <w:t>Première partie :  Les pratiques d’enseignement à l’université des années 1950 à la veille de 1968 : une situation figée ?</w:t>
      </w:r>
      <w:r>
        <w:rPr>
          <w:rFonts w:eastAsiaTheme="minorEastAsia" w:cstheme="minorBidi"/>
          <w:b w:val="0"/>
          <w:lang w:val="en-GB" w:eastAsia="ja-JP"/>
        </w:rPr>
        <w:t xml:space="preserve"> </w:t>
      </w:r>
    </w:p>
    <w:p w14:paraId="1BAB9DB8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1. De la propédeutique au doctorat d’Etat : une organisation de l’enseignement qui a peu évolué</w:t>
      </w:r>
    </w:p>
    <w:p w14:paraId="21CE6307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2.</w:t>
      </w:r>
      <w:r>
        <w:rPr>
          <w:rFonts w:eastAsiaTheme="minorEastAsia" w:cstheme="minorBidi"/>
          <w:sz w:val="24"/>
          <w:szCs w:val="24"/>
          <w:lang w:val="en-GB" w:eastAsia="ja-JP"/>
        </w:rPr>
        <w:t xml:space="preserve"> </w:t>
      </w:r>
      <w:r>
        <w:t>Les contenus enseignés : un décalage avec les avancées de la science</w:t>
      </w:r>
    </w:p>
    <w:p w14:paraId="05B9CC74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3. Une idée neuve : mieux encadrer les étudiants</w:t>
      </w:r>
      <w:r>
        <w:rPr>
          <w:rFonts w:eastAsiaTheme="minorEastAsia" w:cstheme="minorBidi"/>
          <w:sz w:val="24"/>
          <w:szCs w:val="24"/>
          <w:lang w:val="en-GB" w:eastAsia="ja-JP"/>
        </w:rPr>
        <w:t xml:space="preserve"> </w:t>
      </w:r>
    </w:p>
    <w:p w14:paraId="43E52780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4. Le développement d’un courant réformateur</w:t>
      </w:r>
    </w:p>
    <w:p w14:paraId="49293D87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5. Une époque d’initiatives</w:t>
      </w:r>
    </w:p>
    <w:p w14:paraId="4E2A50B0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6. La réforme Fouchet (1966)</w:t>
      </w:r>
      <w:r>
        <w:rPr>
          <w:rFonts w:eastAsiaTheme="minorEastAsia" w:cstheme="minorBidi"/>
          <w:sz w:val="24"/>
          <w:szCs w:val="24"/>
          <w:lang w:val="en-GB" w:eastAsia="ja-JP"/>
        </w:rPr>
        <w:t xml:space="preserve"> </w:t>
      </w:r>
    </w:p>
    <w:p w14:paraId="48665850" w14:textId="77777777" w:rsidR="0003759D" w:rsidRDefault="0003759D" w:rsidP="0003759D">
      <w:pPr>
        <w:pStyle w:val="TM1"/>
        <w:rPr>
          <w:rFonts w:eastAsiaTheme="minorEastAsia" w:cstheme="minorBidi"/>
          <w:b w:val="0"/>
          <w:lang w:val="en-GB" w:eastAsia="ja-JP"/>
        </w:rPr>
      </w:pPr>
      <w:r>
        <w:rPr>
          <w:rFonts w:ascii="Times New Roman" w:hAnsi="Times New Roman"/>
        </w:rPr>
        <w:t xml:space="preserve">Deuxième partie. </w:t>
      </w:r>
      <w:r w:rsidRPr="000164A9">
        <w:rPr>
          <w:rFonts w:ascii="Times New Roman" w:hAnsi="Times New Roman"/>
        </w:rPr>
        <w:t>Les lendemains de 1968, « grand chambardement » ou continuité des pratiques d’enseignement ? Des situations variées (1968-1978)</w:t>
      </w:r>
      <w:r>
        <w:rPr>
          <w:rFonts w:eastAsiaTheme="minorEastAsia" w:cstheme="minorBidi"/>
          <w:b w:val="0"/>
          <w:lang w:val="en-GB" w:eastAsia="ja-JP"/>
        </w:rPr>
        <w:t xml:space="preserve"> </w:t>
      </w:r>
    </w:p>
    <w:p w14:paraId="1956CFE1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1. La recomposition du paysage universitaire (mai 1968- juin 1970)</w:t>
      </w:r>
      <w:r>
        <w:rPr>
          <w:rFonts w:eastAsiaTheme="minorEastAsia" w:cstheme="minorBidi"/>
          <w:sz w:val="24"/>
          <w:szCs w:val="24"/>
          <w:lang w:val="en-GB" w:eastAsia="ja-JP"/>
        </w:rPr>
        <w:t xml:space="preserve"> </w:t>
      </w:r>
    </w:p>
    <w:p w14:paraId="3271A3E9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2.  L’enseignement de l’histoire : des pratiques variées selon les sites</w:t>
      </w:r>
    </w:p>
    <w:p w14:paraId="4CA9EBD3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3.</w:t>
      </w:r>
      <w:r w:rsidRPr="000164A9">
        <w:t xml:space="preserve"> </w:t>
      </w:r>
      <w:r>
        <w:t>Un enseignement de la sociologie considérablement renouvelé</w:t>
      </w:r>
    </w:p>
    <w:p w14:paraId="2DC8D0C0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4. L’enseignement de la physique : le contraste entre Paris 6 et Paris 7</w:t>
      </w:r>
    </w:p>
    <w:p w14:paraId="0BFD1A17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5. La fin des années 1970</w:t>
      </w:r>
      <w:r>
        <w:rPr>
          <w:rFonts w:eastAsiaTheme="minorEastAsia" w:cstheme="minorBidi"/>
          <w:sz w:val="24"/>
          <w:szCs w:val="24"/>
          <w:lang w:val="en-GB" w:eastAsia="ja-JP"/>
        </w:rPr>
        <w:t xml:space="preserve"> </w:t>
      </w:r>
    </w:p>
    <w:p w14:paraId="07DE8AA6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 w:rsidRPr="000164A9">
        <w:t>Conclusion</w:t>
      </w:r>
    </w:p>
    <w:p w14:paraId="7F79AECF" w14:textId="77777777" w:rsidR="0003759D" w:rsidRDefault="0003759D" w:rsidP="0003759D">
      <w:pPr>
        <w:pStyle w:val="TM1"/>
        <w:rPr>
          <w:rFonts w:eastAsiaTheme="minorEastAsia" w:cstheme="minorBidi"/>
          <w:b w:val="0"/>
          <w:lang w:val="en-GB" w:eastAsia="ja-JP"/>
        </w:rPr>
      </w:pPr>
      <w:r>
        <w:rPr>
          <w:rFonts w:ascii="Times New Roman" w:hAnsi="Times New Roman"/>
        </w:rPr>
        <w:t>Troisième partie. 1</w:t>
      </w:r>
      <w:r w:rsidRPr="000164A9">
        <w:rPr>
          <w:rFonts w:ascii="Times New Roman" w:hAnsi="Times New Roman"/>
        </w:rPr>
        <w:t>976-1992. Une préoccupation majeure : réduire l’échec en premier cycle</w:t>
      </w:r>
    </w:p>
    <w:p w14:paraId="7A34375A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 w:rsidRPr="000164A9">
        <w:t>Chapitre 1. La nécessité de réformer des premiers cycles</w:t>
      </w:r>
    </w:p>
    <w:p w14:paraId="403C7726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 w:rsidRPr="000164A9">
        <w:t>Chapitre 2. Dans les universités scientifiques : différencier les cursus pour s’adapter à la diversité du public, améliorer l’orientation et l’encadrement</w:t>
      </w:r>
    </w:p>
    <w:p w14:paraId="6AB3C598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 w:rsidRPr="000164A9">
        <w:t>Chapitre 3. Dans les départements de sciences humaines, des réformes fondées sur la pluridisciplinarité, la méthodologie et le suivi des étudiants</w:t>
      </w:r>
    </w:p>
    <w:p w14:paraId="0DB03B6D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 w:rsidRPr="000164A9">
        <w:t>Conclusion :  les enseignants face aux réformes</w:t>
      </w:r>
    </w:p>
    <w:p w14:paraId="3CE48AF5" w14:textId="77777777" w:rsidR="0003759D" w:rsidRPr="006A18C7" w:rsidRDefault="0003759D" w:rsidP="0003759D">
      <w:pPr>
        <w:pStyle w:val="TM1"/>
        <w:rPr>
          <w:rFonts w:ascii="Times New Roman" w:hAnsi="Times New Roman"/>
        </w:rPr>
      </w:pPr>
      <w:r w:rsidRPr="000164A9">
        <w:rPr>
          <w:rFonts w:ascii="Times New Roman" w:hAnsi="Times New Roman"/>
        </w:rPr>
        <w:t>Quatrième partie</w:t>
      </w:r>
      <w:r>
        <w:t xml:space="preserve">. </w:t>
      </w:r>
      <w:r w:rsidRPr="000164A9">
        <w:rPr>
          <w:rFonts w:ascii="Times New Roman" w:hAnsi="Times New Roman"/>
        </w:rPr>
        <w:t>Les années 1990-2000. Des réformes contraignantes, conduisant à l'abandon de certaines pratiques innovantes</w:t>
      </w:r>
    </w:p>
    <w:p w14:paraId="26B3A1FC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 w:rsidRPr="000164A9">
        <w:t>Chapitre 1.  Dix années de réformes successives (1992, 1997, 2002)</w:t>
      </w:r>
      <w:r>
        <w:rPr>
          <w:rFonts w:eastAsiaTheme="minorEastAsia" w:cstheme="minorBidi"/>
          <w:sz w:val="24"/>
          <w:szCs w:val="24"/>
          <w:lang w:val="en-GB" w:eastAsia="ja-JP"/>
        </w:rPr>
        <w:t xml:space="preserve"> </w:t>
      </w:r>
    </w:p>
    <w:p w14:paraId="545A173D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2 : le désarroi des enseignants chercheurs</w:t>
      </w:r>
    </w:p>
    <w:p w14:paraId="1F3A5F12" w14:textId="77777777" w:rsidR="0003759D" w:rsidRDefault="0003759D" w:rsidP="0003759D">
      <w:pPr>
        <w:pStyle w:val="TM2"/>
        <w:rPr>
          <w:rFonts w:eastAsiaTheme="minorEastAsia" w:cstheme="minorBidi"/>
          <w:sz w:val="24"/>
          <w:szCs w:val="24"/>
          <w:lang w:val="en-GB" w:eastAsia="ja-JP"/>
        </w:rPr>
      </w:pPr>
      <w:r>
        <w:t>Chapitre 3. Des « transformations minuscules ». La multiplication des initiatives individuelles.</w:t>
      </w:r>
      <w:r>
        <w:rPr>
          <w:rFonts w:eastAsiaTheme="minorEastAsia" w:cstheme="minorBidi"/>
          <w:sz w:val="24"/>
          <w:szCs w:val="24"/>
          <w:lang w:val="en-GB" w:eastAsia="ja-JP"/>
        </w:rPr>
        <w:t xml:space="preserve"> </w:t>
      </w:r>
    </w:p>
    <w:p w14:paraId="1D5DFC33" w14:textId="77777777" w:rsidR="0003759D" w:rsidRDefault="0003759D" w:rsidP="0003759D">
      <w:pPr>
        <w:pStyle w:val="TM2"/>
      </w:pPr>
    </w:p>
    <w:p w14:paraId="39A0EF05" w14:textId="77777777" w:rsidR="0003759D" w:rsidRPr="0003759D" w:rsidRDefault="0003759D" w:rsidP="0003759D">
      <w:pPr>
        <w:pStyle w:val="TM2"/>
      </w:pPr>
      <w:r>
        <w:t>Conclusion</w:t>
      </w:r>
      <w:bookmarkStart w:id="0" w:name="_GoBack"/>
      <w:bookmarkEnd w:id="0"/>
    </w:p>
    <w:p w14:paraId="6DFE5906" w14:textId="77777777" w:rsidR="00495B09" w:rsidRPr="00212182" w:rsidRDefault="00495B09" w:rsidP="00212182"/>
    <w:sectPr w:rsidR="00495B09" w:rsidRPr="00212182" w:rsidSect="00000F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82"/>
    <w:rsid w:val="00000FB6"/>
    <w:rsid w:val="0003759D"/>
    <w:rsid w:val="00212182"/>
    <w:rsid w:val="004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178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82"/>
    <w:pPr>
      <w:spacing w:after="200"/>
    </w:pPr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03759D"/>
    <w:pPr>
      <w:tabs>
        <w:tab w:val="right" w:leader="dot" w:pos="9396"/>
      </w:tabs>
      <w:spacing w:before="120" w:after="0"/>
    </w:pPr>
    <w:rPr>
      <w:rFonts w:eastAsia="Times New Roman" w:cs="Times New Roman"/>
      <w:b/>
      <w:noProof/>
      <w:lang w:eastAsia="fr-FR"/>
    </w:rPr>
  </w:style>
  <w:style w:type="paragraph" w:styleId="TM2">
    <w:name w:val="toc 2"/>
    <w:basedOn w:val="Normal"/>
    <w:next w:val="Normal"/>
    <w:autoRedefine/>
    <w:uiPriority w:val="39"/>
    <w:rsid w:val="0003759D"/>
    <w:pPr>
      <w:tabs>
        <w:tab w:val="right" w:leader="dot" w:pos="9056"/>
      </w:tabs>
      <w:spacing w:after="0"/>
      <w:ind w:left="240"/>
    </w:pPr>
    <w:rPr>
      <w:rFonts w:eastAsia="Times New Roman" w:cs="Times New Roman"/>
      <w:noProof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82"/>
    <w:pPr>
      <w:spacing w:after="200"/>
    </w:pPr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03759D"/>
    <w:pPr>
      <w:tabs>
        <w:tab w:val="right" w:leader="dot" w:pos="9396"/>
      </w:tabs>
      <w:spacing w:before="120" w:after="0"/>
    </w:pPr>
    <w:rPr>
      <w:rFonts w:eastAsia="Times New Roman" w:cs="Times New Roman"/>
      <w:b/>
      <w:noProof/>
      <w:lang w:eastAsia="fr-FR"/>
    </w:rPr>
  </w:style>
  <w:style w:type="paragraph" w:styleId="TM2">
    <w:name w:val="toc 2"/>
    <w:basedOn w:val="Normal"/>
    <w:next w:val="Normal"/>
    <w:autoRedefine/>
    <w:uiPriority w:val="39"/>
    <w:rsid w:val="0003759D"/>
    <w:pPr>
      <w:tabs>
        <w:tab w:val="right" w:leader="dot" w:pos="9056"/>
      </w:tabs>
      <w:spacing w:after="0"/>
      <w:ind w:left="240"/>
    </w:pPr>
    <w:rPr>
      <w:rFonts w:eastAsia="Times New Roman" w:cs="Times New Roman"/>
      <w:noProof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1687</Characters>
  <Application>Microsoft Macintosh Word</Application>
  <DocSecurity>0</DocSecurity>
  <Lines>31</Lines>
  <Paragraphs>10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Viaud</dc:creator>
  <cp:keywords/>
  <dc:description/>
  <cp:lastModifiedBy>Marie-Laure Viaud</cp:lastModifiedBy>
  <cp:revision>2</cp:revision>
  <dcterms:created xsi:type="dcterms:W3CDTF">2018-11-02T20:03:00Z</dcterms:created>
  <dcterms:modified xsi:type="dcterms:W3CDTF">2018-11-02T20:11:00Z</dcterms:modified>
</cp:coreProperties>
</file>